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5E" w:rsidRPr="007763FE" w:rsidRDefault="003F175E" w:rsidP="007763F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763FE">
        <w:rPr>
          <w:rFonts w:ascii="Arial" w:hAnsi="Arial" w:cs="Arial"/>
          <w:b/>
          <w:bCs/>
          <w:sz w:val="24"/>
          <w:szCs w:val="24"/>
        </w:rPr>
        <w:t xml:space="preserve">Использование </w:t>
      </w:r>
      <w:r>
        <w:rPr>
          <w:rFonts w:ascii="Arial" w:hAnsi="Arial" w:cs="Arial"/>
          <w:b/>
          <w:bCs/>
          <w:sz w:val="24"/>
          <w:szCs w:val="24"/>
        </w:rPr>
        <w:t>Системных Продуктов З</w:t>
      </w:r>
      <w:r w:rsidRPr="007763FE">
        <w:rPr>
          <w:rFonts w:ascii="Arial" w:hAnsi="Arial" w:cs="Arial"/>
          <w:b/>
          <w:bCs/>
          <w:sz w:val="24"/>
          <w:szCs w:val="24"/>
        </w:rPr>
        <w:t>доровья компании ВИТАМАКС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7763FE">
        <w:rPr>
          <w:rFonts w:ascii="Arial" w:hAnsi="Arial" w:cs="Arial"/>
          <w:b/>
          <w:bCs/>
          <w:sz w:val="24"/>
          <w:szCs w:val="24"/>
        </w:rPr>
        <w:t xml:space="preserve">в реабилитации детей, </w:t>
      </w:r>
      <w:r w:rsidRPr="007763FE">
        <w:rPr>
          <w:rFonts w:ascii="Arial" w:hAnsi="Arial" w:cs="Arial"/>
          <w:b/>
          <w:bCs/>
          <w:sz w:val="24"/>
          <w:szCs w:val="24"/>
        </w:rPr>
        <w:br/>
        <w:t>проживающих в экологически неблагоприятных регионах</w:t>
      </w:r>
    </w:p>
    <w:p w:rsidR="003F175E" w:rsidRPr="007763FE" w:rsidRDefault="003F175E" w:rsidP="007763FE">
      <w:pPr>
        <w:jc w:val="both"/>
        <w:rPr>
          <w:rFonts w:ascii="Arial" w:hAnsi="Arial" w:cs="Arial"/>
        </w:rPr>
      </w:pPr>
    </w:p>
    <w:p w:rsidR="003F175E" w:rsidRPr="007763FE" w:rsidRDefault="003F175E" w:rsidP="007763FE">
      <w:pPr>
        <w:jc w:val="right"/>
        <w:rPr>
          <w:rFonts w:ascii="Arial" w:hAnsi="Arial" w:cs="Arial"/>
          <w:i/>
          <w:iCs/>
        </w:rPr>
      </w:pPr>
      <w:r w:rsidRPr="007763FE">
        <w:rPr>
          <w:rFonts w:ascii="Arial" w:hAnsi="Arial" w:cs="Arial"/>
          <w:i/>
          <w:iCs/>
        </w:rPr>
        <w:t>Н.И.Аверьянова,</w:t>
      </w:r>
      <w:r w:rsidRPr="007763FE">
        <w:rPr>
          <w:rFonts w:ascii="Arial" w:hAnsi="Arial" w:cs="Arial"/>
          <w:i/>
          <w:iCs/>
        </w:rPr>
        <w:br/>
        <w:t xml:space="preserve"> Н.В.Зайцева,</w:t>
      </w:r>
      <w:r w:rsidRPr="007763FE">
        <w:rPr>
          <w:rFonts w:ascii="Arial" w:hAnsi="Arial" w:cs="Arial"/>
          <w:i/>
          <w:iCs/>
        </w:rPr>
        <w:br/>
        <w:t xml:space="preserve"> Ю.А.Аносова, </w:t>
      </w:r>
      <w:r w:rsidRPr="007763FE">
        <w:rPr>
          <w:rFonts w:ascii="Arial" w:hAnsi="Arial" w:cs="Arial"/>
          <w:i/>
          <w:iCs/>
        </w:rPr>
        <w:br/>
        <w:t xml:space="preserve">Г.А.Алесковская, </w:t>
      </w:r>
      <w:r w:rsidRPr="007763FE">
        <w:rPr>
          <w:rFonts w:ascii="Arial" w:hAnsi="Arial" w:cs="Arial"/>
          <w:i/>
          <w:iCs/>
        </w:rPr>
        <w:br/>
        <w:t xml:space="preserve">Е.И.Кривенко, </w:t>
      </w:r>
      <w:r w:rsidRPr="007763FE">
        <w:rPr>
          <w:rFonts w:ascii="Arial" w:hAnsi="Arial" w:cs="Arial"/>
          <w:i/>
          <w:iCs/>
        </w:rPr>
        <w:br/>
        <w:t xml:space="preserve">И.Ю.Томасова, </w:t>
      </w:r>
      <w:r w:rsidRPr="007763FE">
        <w:rPr>
          <w:rFonts w:ascii="Arial" w:hAnsi="Arial" w:cs="Arial"/>
          <w:i/>
          <w:iCs/>
        </w:rPr>
        <w:br/>
        <w:t xml:space="preserve">С.Л.Смирнова, </w:t>
      </w:r>
      <w:r w:rsidRPr="007763FE">
        <w:rPr>
          <w:rFonts w:ascii="Arial" w:hAnsi="Arial" w:cs="Arial"/>
          <w:i/>
          <w:iCs/>
        </w:rPr>
        <w:br/>
        <w:t>Первая государственная м</w:t>
      </w:r>
      <w:r>
        <w:rPr>
          <w:rFonts w:ascii="Arial" w:hAnsi="Arial" w:cs="Arial"/>
          <w:i/>
          <w:iCs/>
        </w:rPr>
        <w:t xml:space="preserve">едицинская академия, </w:t>
      </w:r>
      <w:r>
        <w:rPr>
          <w:rFonts w:ascii="Arial" w:hAnsi="Arial" w:cs="Arial"/>
          <w:i/>
          <w:iCs/>
        </w:rPr>
        <w:br/>
        <w:t>Пермский Научно-И</w:t>
      </w:r>
      <w:r w:rsidRPr="007763FE">
        <w:rPr>
          <w:rFonts w:ascii="Arial" w:hAnsi="Arial" w:cs="Arial"/>
          <w:i/>
          <w:iCs/>
        </w:rPr>
        <w:t xml:space="preserve">сследовательский </w:t>
      </w:r>
      <w:r>
        <w:rPr>
          <w:rFonts w:ascii="Arial" w:hAnsi="Arial" w:cs="Arial"/>
          <w:i/>
          <w:iCs/>
        </w:rPr>
        <w:t>Клинический И</w:t>
      </w:r>
      <w:r w:rsidRPr="007763FE">
        <w:rPr>
          <w:rFonts w:ascii="Arial" w:hAnsi="Arial" w:cs="Arial"/>
          <w:i/>
          <w:iCs/>
        </w:rPr>
        <w:t xml:space="preserve">нститут детской экопатологии, </w:t>
      </w:r>
      <w:r w:rsidRPr="007763FE">
        <w:rPr>
          <w:rFonts w:ascii="Arial" w:hAnsi="Arial" w:cs="Arial"/>
          <w:i/>
          <w:iCs/>
        </w:rPr>
        <w:br/>
        <w:t xml:space="preserve">детская городская больница № 24, </w:t>
      </w:r>
      <w:r w:rsidRPr="007763FE">
        <w:rPr>
          <w:rFonts w:ascii="Arial" w:hAnsi="Arial" w:cs="Arial"/>
          <w:i/>
          <w:iCs/>
        </w:rPr>
        <w:br/>
        <w:t xml:space="preserve">г. Пермь. </w:t>
      </w:r>
    </w:p>
    <w:p w:rsidR="003F175E" w:rsidRPr="007763FE" w:rsidRDefault="003F175E" w:rsidP="007763FE">
      <w:pPr>
        <w:jc w:val="both"/>
        <w:rPr>
          <w:rFonts w:ascii="Arial" w:hAnsi="Arial" w:cs="Arial"/>
        </w:rPr>
      </w:pPr>
    </w:p>
    <w:p w:rsidR="003F175E" w:rsidRPr="007763FE" w:rsidRDefault="003F175E" w:rsidP="003A6A14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3A6A14">
        <w:rPr>
          <w:rFonts w:ascii="Arial" w:hAnsi="Arial" w:cs="Arial"/>
          <w:sz w:val="24"/>
          <w:szCs w:val="24"/>
        </w:rPr>
        <w:t xml:space="preserve">Город Пермь и Пермская область относятся к регионам с повышенной антропогенной </w:t>
      </w:r>
      <w:r w:rsidRPr="007763FE">
        <w:rPr>
          <w:rFonts w:ascii="Arial" w:hAnsi="Arial" w:cs="Arial"/>
        </w:rPr>
        <w:t xml:space="preserve">нагрузкой. Размещение в городах области крупных объектов энергетики, предприятий химической, нефтехимической отраслей, машиностроения, металлургии и других промышленных объектов обуславливают характер и уровень загрязнения атмосферного воздуха. Несмотря на наметившуюся в последние годы тенденцию к снижению валового выброса вредных веществ, обусловленную в основном спадом промышленного производства, уровень загрязненности атмосферного воздуха в некоторых городах области продолжает оставаться высоким. </w:t>
      </w:r>
    </w:p>
    <w:p w:rsidR="003F175E" w:rsidRPr="007763FE" w:rsidRDefault="003F175E" w:rsidP="003A6A14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7763FE">
        <w:rPr>
          <w:rFonts w:ascii="Arial" w:hAnsi="Arial" w:cs="Arial"/>
        </w:rPr>
        <w:t xml:space="preserve">Углубленный клинический анализ состояния здоровья детей, родившихся и постоянно проживающих в регионах высокой антропогенной нагрузки, показал, что на экологически неблагополучных территориях Пермской области сформировался особый контингент детей, который можно считать критической группой. Эти дети страдают синдромом дезадаптации, имеют полиорганную патологию, которая в некоторых случаях носит врожденный характер, частично развивается вследствие отклонений от нормы в перинатальном периоде, и, несомненно, является результатом влияния внешних факторов, как социальных, так и экологических. Характерные черты этой патологии — нарушения структуры и функций клеточных мембран; нарушения в деятельности нервной, иммунной, кроветворной, мочевыделительной и эндокринной систем; формирование аллергии, анемии, дизметаболии, хронической патологии. Кумуляция в организме детей таких химических веществ, как свинец, никель, хром, кобальт, этилбензол, ксилолы, метанол, фенол, формальдегид и другие, а также содержание в моче спектра органических соединений в количествах, превышающих ПДК, свидетельствуют о непосредственно экологической обусловленности патологии. В связи с чем в ряде районов области организована круглогодичная реабилитация в дошкольных учреждениях, все шире проводится реабилитация в школах во время учебного года, а также на летних школьных площадках и в оздоровительных лагерях, осуществляется реабилитация беременных, проживающих в зоне высокой антропогенной нагрузки. </w:t>
      </w:r>
    </w:p>
    <w:p w:rsidR="003F175E" w:rsidRPr="007763FE" w:rsidRDefault="003F175E" w:rsidP="003A6A14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7763FE">
        <w:rPr>
          <w:rFonts w:ascii="Arial" w:hAnsi="Arial" w:cs="Arial"/>
        </w:rPr>
        <w:t>В системе реабилитации помимо традиционных ср</w:t>
      </w:r>
      <w:r>
        <w:rPr>
          <w:rFonts w:ascii="Arial" w:hAnsi="Arial" w:cs="Arial"/>
        </w:rPr>
        <w:t>едств широко используются Системные Продукты З</w:t>
      </w:r>
      <w:r w:rsidRPr="007763FE">
        <w:rPr>
          <w:rFonts w:ascii="Arial" w:hAnsi="Arial" w:cs="Arial"/>
        </w:rPr>
        <w:t>доровья компании ВИТАМАКС. Энтеросорбент ПИТАТЕЛЬНАЯ ОЧИСТКА</w:t>
      </w:r>
      <w:r>
        <w:rPr>
          <w:rFonts w:ascii="Arial" w:hAnsi="Arial" w:cs="Arial"/>
        </w:rPr>
        <w:t>*</w:t>
      </w:r>
      <w:r w:rsidRPr="007763FE">
        <w:rPr>
          <w:rFonts w:ascii="Arial" w:hAnsi="Arial" w:cs="Arial"/>
        </w:rPr>
        <w:t xml:space="preserve">, успешно конкурирующий с общеизвестными энтеросорбентами карбактином и полифепаном, показал высокую эффективность при применении. </w:t>
      </w:r>
    </w:p>
    <w:p w:rsidR="003F175E" w:rsidRPr="007763FE" w:rsidRDefault="003F175E" w:rsidP="003A6A14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7763FE">
        <w:rPr>
          <w:rFonts w:ascii="Arial" w:hAnsi="Arial" w:cs="Arial"/>
        </w:rPr>
        <w:t xml:space="preserve">Хорошо зарекомендовали себя антиоксиданты компании ВИТАМАКС: </w:t>
      </w:r>
      <w:r w:rsidRPr="003A6A14">
        <w:rPr>
          <w:rFonts w:ascii="Arial" w:hAnsi="Arial" w:cs="Arial"/>
        </w:rPr>
        <w:t>МАГНУМ А, МАГНУМ Е</w:t>
      </w:r>
      <w:r>
        <w:rPr>
          <w:rFonts w:ascii="Arial" w:hAnsi="Arial" w:cs="Arial"/>
        </w:rPr>
        <w:t>*</w:t>
      </w:r>
      <w:r w:rsidRPr="003A6A14">
        <w:rPr>
          <w:rFonts w:ascii="Arial" w:hAnsi="Arial" w:cs="Arial"/>
        </w:rPr>
        <w:t>, МАГНУМ С</w:t>
      </w:r>
      <w:r w:rsidRPr="007763FE">
        <w:rPr>
          <w:rFonts w:ascii="Arial" w:hAnsi="Arial" w:cs="Arial"/>
        </w:rPr>
        <w:t xml:space="preserve">, а также </w:t>
      </w:r>
      <w:r w:rsidRPr="003A6A14">
        <w:rPr>
          <w:rFonts w:ascii="Arial" w:hAnsi="Arial" w:cs="Arial"/>
        </w:rPr>
        <w:t>МЕГА ПР</w:t>
      </w:r>
      <w:r>
        <w:rPr>
          <w:rFonts w:ascii="Arial" w:hAnsi="Arial" w:cs="Arial"/>
        </w:rPr>
        <w:t>О, ЗЕЛЕНОЕ ВОЛШЕБСТВО, ВИТА</w:t>
      </w:r>
      <w:r w:rsidRPr="003A6A14">
        <w:rPr>
          <w:rFonts w:ascii="Arial" w:hAnsi="Arial" w:cs="Arial"/>
        </w:rPr>
        <w:t>БАЛАНС 2000</w:t>
      </w:r>
      <w:r w:rsidRPr="007763FE">
        <w:rPr>
          <w:rFonts w:ascii="Arial" w:hAnsi="Arial" w:cs="Arial"/>
        </w:rPr>
        <w:t xml:space="preserve">. </w:t>
      </w:r>
    </w:p>
    <w:p w:rsidR="003F175E" w:rsidRDefault="003F175E" w:rsidP="003A6A14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7763FE">
        <w:rPr>
          <w:rFonts w:ascii="Arial" w:hAnsi="Arial" w:cs="Arial"/>
        </w:rPr>
        <w:t>Включение этих пищевых добавок в комплекс медико-экологической реабилитации способствует существенному уменьшению у детей симптомов хронической интоксикации, улучшению самочувствия, снижению или исчезновению проявлений аллергии. Побочных действий при рациональном использовании этих продуктов не выявлено.</w:t>
      </w:r>
    </w:p>
    <w:p w:rsidR="003F175E" w:rsidRDefault="003F175E" w:rsidP="003A6A14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3F175E" w:rsidRDefault="003F175E" w:rsidP="003A6A14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3F175E" w:rsidRDefault="003F175E" w:rsidP="003A6A14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* Биологически активные комплексы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</w:rPr>
        <w:t xml:space="preserve">МАГНУМ Е и </w:t>
      </w:r>
      <w:r w:rsidRPr="007763FE">
        <w:rPr>
          <w:rFonts w:ascii="Arial" w:hAnsi="Arial" w:cs="Arial"/>
        </w:rPr>
        <w:t>ПИТАТЕЛЬНАЯ ОЧИСТКА</w:t>
      </w:r>
      <w:r>
        <w:rPr>
          <w:rFonts w:ascii="Arial" w:hAnsi="Arial" w:cs="Arial"/>
        </w:rPr>
        <w:t xml:space="preserve"> в настоящее время сняты с производства. Их аналоги: НИМФОВИТ, ТОКОФЕРИТ и НУТРИКЛИНЗ.</w:t>
      </w:r>
    </w:p>
    <w:p w:rsidR="003F175E" w:rsidRPr="007763FE" w:rsidRDefault="003F175E" w:rsidP="003A6A14">
      <w:pPr>
        <w:spacing w:after="0" w:line="360" w:lineRule="auto"/>
        <w:ind w:firstLine="567"/>
        <w:jc w:val="both"/>
        <w:rPr>
          <w:rFonts w:ascii="Arial" w:hAnsi="Arial" w:cs="Arial"/>
        </w:rPr>
      </w:pPr>
    </w:p>
    <w:sectPr w:rsidR="003F175E" w:rsidRPr="007763FE" w:rsidSect="003A6A14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8AF"/>
    <w:rsid w:val="003A6A14"/>
    <w:rsid w:val="003F175E"/>
    <w:rsid w:val="005672A9"/>
    <w:rsid w:val="007763FE"/>
    <w:rsid w:val="00A968AF"/>
    <w:rsid w:val="00B47FAC"/>
    <w:rsid w:val="00D74634"/>
    <w:rsid w:val="00DE7C8D"/>
    <w:rsid w:val="00FB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63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504</Words>
  <Characters>2874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gofman_natalia</dc:creator>
  <cp:keywords/>
  <dc:description/>
  <cp:lastModifiedBy>bogenok_svetlana</cp:lastModifiedBy>
  <cp:revision>4</cp:revision>
  <dcterms:created xsi:type="dcterms:W3CDTF">2010-11-03T08:05:00Z</dcterms:created>
  <dcterms:modified xsi:type="dcterms:W3CDTF">2011-05-25T16:09:00Z</dcterms:modified>
</cp:coreProperties>
</file>